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FE72EF" w:rsidP="00FE72EF" w:rsidRDefault="00C637FE" w14:paraId="50B52A9D" w14:textId="562D3729">
      <w:pPr>
        <w:widowControl w:val="0"/>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2C8B2600" wp14:editId="39CEFF27">
                <wp:simplePos x="0" y="0"/>
                <wp:positionH relativeFrom="margin">
                  <wp:posOffset>-139700</wp:posOffset>
                </wp:positionH>
                <wp:positionV relativeFrom="paragraph">
                  <wp:posOffset>-576070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C637FE" w:rsidP="00C637FE" w:rsidRDefault="00C637FE" w14:paraId="713D964E"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C637FE" w:rsidP="00C637FE" w:rsidRDefault="00C637FE" w14:paraId="64334544"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C637FE" w:rsidP="00C637FE" w:rsidRDefault="00C637FE" w14:paraId="618CF9E1"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C637FE" w:rsidP="00C637FE" w:rsidRDefault="00C637FE" w14:paraId="58F27819"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C637FE" w:rsidP="00C637FE" w:rsidRDefault="00C637FE" w14:paraId="49468DD1"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C637FE" w:rsidP="00C637FE" w:rsidRDefault="00C637FE" w14:paraId="5C432BC9"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C637FE" w:rsidP="00C637FE" w:rsidRDefault="00C637FE" w14:paraId="77F01AC3"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C637FE" w:rsidP="00C637FE" w:rsidRDefault="00C637FE" w14:paraId="118EE263"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C637FE" w:rsidP="00C637FE" w:rsidRDefault="00C637FE" w14:paraId="6D8F6274"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C637FE" w:rsidP="00C637FE" w:rsidRDefault="00C637FE" w14:paraId="7610B4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11"/>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margin-left:-11pt;margin-top:-45.35pt;width:540pt;height:89.5pt;z-index:-251657216;mso-position-horizontal-relative:margin" coordsize="72573,13283" o:spid="_x0000_s1026" w14:anchorId="2C8B2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C637FE" w:rsidP="00C637FE" w:rsidRDefault="00C637FE" w14:paraId="713D964E"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C637FE" w:rsidP="00C637FE" w:rsidRDefault="00C637FE" w14:paraId="64334544"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C637FE" w:rsidP="00C637FE" w:rsidRDefault="00C637FE" w14:paraId="618CF9E1"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C637FE" w:rsidP="00C637FE" w:rsidRDefault="00C637FE" w14:paraId="58F27819"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C637FE" w:rsidP="00C637FE" w:rsidRDefault="00C637FE" w14:paraId="49468DD1"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C637FE" w:rsidP="00C637FE" w:rsidRDefault="00C637FE" w14:paraId="5C432BC9" w14:textId="77777777">
                        <w:pPr>
                          <w:spacing w:after="160" w:line="256" w:lineRule="auto"/>
                          <w:rPr>
                            <w:sz w:val="16"/>
                            <w:szCs w:val="16"/>
                          </w:rPr>
                        </w:pPr>
                        <w:hyperlink w:history="1" r:id="rId12">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C637FE" w:rsidP="00C637FE" w:rsidRDefault="00C637FE" w14:paraId="77F01AC3"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C637FE" w:rsidP="00C637FE" w:rsidRDefault="00C637FE" w14:paraId="118EE263"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C637FE" w:rsidP="00C637FE" w:rsidRDefault="00C637FE" w14:paraId="6D8F6274"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C637FE" w:rsidP="00C637FE" w:rsidRDefault="00C637FE" w14:paraId="7610B4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3"/>
                </v:shape>
                <w10:wrap anchorx="margin"/>
              </v:group>
            </w:pict>
          </mc:Fallback>
        </mc:AlternateContent>
      </w:r>
    </w:p>
    <w:p w:rsidR="00FE72EF" w:rsidRDefault="00FE72EF" w14:paraId="53C82752" w14:textId="77777777">
      <w:pPr>
        <w:widowControl w:val="0"/>
        <w:jc w:val="center"/>
        <w:rPr>
          <w:rFonts w:ascii="Garamond" w:hAnsi="Garamond" w:eastAsia="Garamond" w:cs="Garamond"/>
        </w:rPr>
      </w:pPr>
    </w:p>
    <w:p w:rsidR="00FE72EF" w:rsidRDefault="00FE72EF" w14:paraId="54140C0A" w14:textId="77777777">
      <w:pPr>
        <w:widowControl w:val="0"/>
        <w:jc w:val="center"/>
        <w:rPr>
          <w:rFonts w:ascii="Garamond" w:hAnsi="Garamond" w:eastAsia="Garamond" w:cs="Garamond"/>
        </w:rPr>
      </w:pPr>
    </w:p>
    <w:p w:rsidR="00FE72EF" w:rsidRDefault="00FE72EF" w14:paraId="565B26A9" w14:textId="34729AD9">
      <w:pPr>
        <w:widowControl w:val="0"/>
        <w:jc w:val="center"/>
        <w:rPr>
          <w:rFonts w:ascii="Garamond" w:hAnsi="Garamond" w:eastAsia="Garamond" w:cs="Garamond"/>
        </w:rPr>
      </w:pPr>
    </w:p>
    <w:p w:rsidR="00FE72EF" w:rsidRDefault="00C637FE" w14:paraId="177A24DD" w14:textId="58B21B7E">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43D59BB2" wp14:editId="74C2DD38">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344168" cy="1289304"/>
                    </a:xfrm>
                    <a:prstGeom prst="rect">
                      <a:avLst/>
                    </a:prstGeom>
                    <a:ln/>
                  </pic:spPr>
                </pic:pic>
              </a:graphicData>
            </a:graphic>
          </wp:inline>
        </w:drawing>
      </w:r>
    </w:p>
    <w:p w:rsidR="00AF60B6" w:rsidP="00C637FE" w:rsidRDefault="00AF60B6" w14:paraId="3E8E9989" w14:textId="77777777">
      <w:pPr>
        <w:widowControl w:val="0"/>
        <w:rPr>
          <w:rFonts w:ascii="Garamond" w:hAnsi="Garamond" w:eastAsia="Garamond" w:cs="Garamond"/>
        </w:rPr>
      </w:pPr>
    </w:p>
    <w:p w:rsidR="00AF60B6" w:rsidRDefault="003A738E" w14:paraId="3E8E998A"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Special Events Team</w:t>
      </w:r>
    </w:p>
    <w:p w:rsidR="00AF60B6" w:rsidRDefault="00AF60B6" w14:paraId="3E8E998B" w14:textId="77777777">
      <w:pPr>
        <w:widowControl w:val="0"/>
        <w:rPr>
          <w:rFonts w:ascii="Garamond" w:hAnsi="Garamond" w:eastAsia="Garamond" w:cs="Garamond"/>
        </w:rPr>
      </w:pPr>
    </w:p>
    <w:p w:rsidR="00AF60B6" w:rsidRDefault="003A738E" w14:paraId="3E8E998C"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C637FE" w:rsidRDefault="003A738E" w14:paraId="7446C194" w14:textId="1511CD29">
      <w:pPr>
        <w:widowControl w:val="0"/>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p>
    <w:p w:rsidR="00C42CCB" w:rsidP="00C42CCB" w:rsidRDefault="00C42CCB" w14:paraId="16572568" w14:textId="77777777">
      <w:pPr>
        <w:widowControl w:val="0"/>
        <w:rPr>
          <w:rFonts w:ascii="Garamond" w:hAnsi="Garamond" w:eastAsia="Garamond" w:cs="Garamond"/>
        </w:rPr>
      </w:pPr>
    </w:p>
    <w:p w:rsidR="00C42CCB" w:rsidP="00C42CCB" w:rsidRDefault="00C42CCB" w14:paraId="2842B4CA" w14:textId="77777777">
      <w:pPr>
        <w:widowControl w:val="0"/>
        <w:rPr>
          <w:rFonts w:ascii="Garamond" w:hAnsi="Garamond" w:eastAsia="Garamond" w:cs="Garamond"/>
          <w:b/>
          <w:bCs/>
        </w:rPr>
      </w:pPr>
      <w:r>
        <w:rPr>
          <w:rFonts w:ascii="Garamond" w:hAnsi="Garamond" w:eastAsia="Garamond" w:cs="Garamond"/>
          <w:b/>
          <w:bCs/>
        </w:rPr>
        <w:t>About National Capital Parks - East:</w:t>
      </w:r>
    </w:p>
    <w:p w:rsidR="00C42CCB" w:rsidP="00C42CCB" w:rsidRDefault="00C42CCB" w14:paraId="221E7117" w14:textId="77777777">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AF60B6" w:rsidRDefault="00AF60B6" w14:paraId="3E8E998E" w14:textId="77777777">
      <w:pPr>
        <w:widowControl w:val="0"/>
        <w:rPr>
          <w:rFonts w:ascii="Garamond" w:hAnsi="Garamond" w:eastAsia="Garamond" w:cs="Garamond"/>
          <w:b/>
        </w:rPr>
      </w:pPr>
    </w:p>
    <w:p w:rsidR="00AF60B6" w:rsidRDefault="003A738E" w14:paraId="3E8E998F" w14:textId="77777777">
      <w:pPr>
        <w:widowControl w:val="0"/>
        <w:rPr>
          <w:rFonts w:ascii="Garamond" w:hAnsi="Garamond" w:eastAsia="Garamond" w:cs="Garamond"/>
          <w:u w:val="single"/>
        </w:rPr>
      </w:pPr>
      <w:r>
        <w:rPr>
          <w:rFonts w:ascii="Garamond" w:hAnsi="Garamond" w:eastAsia="Garamond" w:cs="Garamond"/>
          <w:b/>
        </w:rPr>
        <w:t>About the Special Events Team:</w:t>
      </w:r>
    </w:p>
    <w:p w:rsidR="00AF60B6" w:rsidRDefault="003A738E" w14:paraId="3E8E9990" w14:textId="77777777">
      <w:pPr>
        <w:rPr>
          <w:rFonts w:ascii="Garamond" w:hAnsi="Garamond" w:eastAsia="Garamond" w:cs="Garamond"/>
          <w:i/>
        </w:rPr>
      </w:pPr>
      <w:r>
        <w:rPr>
          <w:rFonts w:ascii="Garamond" w:hAnsi="Garamond" w:eastAsia="Garamond" w:cs="Garamond"/>
        </w:rPr>
        <w:t xml:space="preserve">Every year, the Accokeek Foundation holds several special events for the </w:t>
      </w:r>
      <w:proofErr w:type="gramStart"/>
      <w:r>
        <w:rPr>
          <w:rFonts w:ascii="Garamond" w:hAnsi="Garamond" w:eastAsia="Garamond" w:cs="Garamond"/>
        </w:rPr>
        <w:t>general public</w:t>
      </w:r>
      <w:proofErr w:type="gramEnd"/>
      <w:r>
        <w:rPr>
          <w:rFonts w:ascii="Garamond" w:hAnsi="Garamond" w:eastAsia="Garamond" w:cs="Garamond"/>
        </w:rPr>
        <w:t>. These events include Latte’s with Lambs, Wi</w:t>
      </w:r>
      <w:r>
        <w:rPr>
          <w:rFonts w:ascii="Garamond" w:hAnsi="Garamond" w:eastAsia="Garamond" w:cs="Garamond"/>
        </w:rPr>
        <w:t>nter’s Eve, and Tails on Trails, among others. The events are held to offer general visitors a guided experience through our site, whether they are celebrating our incredible Heritage Breed Livestock or embracing 18th century holiday traditions. Volunteers</w:t>
      </w:r>
      <w:r>
        <w:rPr>
          <w:rFonts w:ascii="Garamond" w:hAnsi="Garamond" w:eastAsia="Garamond" w:cs="Garamond"/>
        </w:rPr>
        <w:t xml:space="preserve"> serving on the Special Events Team will have the opportunity to enhance our general visitor experience through the event, while also connecting/reconnecting visitors to the wonders of Piscataway Park.</w:t>
      </w:r>
    </w:p>
    <w:p w:rsidR="00AF60B6" w:rsidRDefault="00AF60B6" w14:paraId="3E8E9991" w14:textId="77777777">
      <w:pPr>
        <w:rPr>
          <w:rFonts w:ascii="Garamond" w:hAnsi="Garamond" w:eastAsia="Garamond" w:cs="Garamond"/>
        </w:rPr>
      </w:pPr>
    </w:p>
    <w:p w:rsidR="00AF60B6" w:rsidRDefault="003A738E" w14:paraId="3E8E9992"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AF60B6" w:rsidRDefault="003A738E" w14:paraId="3E8E9993" w14:textId="77777777">
      <w:pPr>
        <w:rPr>
          <w:rFonts w:ascii="Garamond" w:hAnsi="Garamond" w:eastAsia="Garamond" w:cs="Garamond"/>
        </w:rPr>
      </w:pPr>
      <w:r>
        <w:rPr>
          <w:rFonts w:ascii="Garamond" w:hAnsi="Garamond" w:eastAsia="Garamond" w:cs="Garamond"/>
        </w:rPr>
        <w:t>Special Events Voluntee</w:t>
      </w:r>
      <w:r>
        <w:rPr>
          <w:rFonts w:ascii="Garamond" w:hAnsi="Garamond" w:eastAsia="Garamond" w:cs="Garamond"/>
        </w:rPr>
        <w:t xml:space="preserve">rs support the preparation, delivery, and cleanup of our large park events. Event service assignments typically involve engagement with the </w:t>
      </w:r>
      <w:proofErr w:type="gramStart"/>
      <w:r>
        <w:rPr>
          <w:rFonts w:ascii="Garamond" w:hAnsi="Garamond" w:eastAsia="Garamond" w:cs="Garamond"/>
        </w:rPr>
        <w:t>general public</w:t>
      </w:r>
      <w:proofErr w:type="gramEnd"/>
      <w:r>
        <w:rPr>
          <w:rFonts w:ascii="Garamond" w:hAnsi="Garamond" w:eastAsia="Garamond" w:cs="Garamond"/>
        </w:rPr>
        <w:t xml:space="preserve">. Volunteers will serve alongside foundation employees to provide quality experiences and programming </w:t>
      </w:r>
      <w:r>
        <w:rPr>
          <w:rFonts w:ascii="Garamond" w:hAnsi="Garamond" w:eastAsia="Garamond" w:cs="Garamond"/>
        </w:rPr>
        <w:t xml:space="preserve">to visitors, while also ensuring a safe learning environment. </w:t>
      </w:r>
    </w:p>
    <w:p w:rsidR="00C42CCB" w:rsidRDefault="00C42CCB" w14:paraId="09BB70A9" w14:textId="77777777">
      <w:pPr>
        <w:widowControl w:val="0"/>
        <w:rPr>
          <w:rFonts w:ascii="Garamond" w:hAnsi="Garamond" w:eastAsia="Garamond" w:cs="Garamond"/>
        </w:rPr>
      </w:pPr>
    </w:p>
    <w:p w:rsidR="00AF60B6" w:rsidRDefault="003A738E" w14:paraId="3E8E9995" w14:textId="622D9509">
      <w:pPr>
        <w:widowControl w:val="0"/>
        <w:rPr>
          <w:rFonts w:ascii="Garamond" w:hAnsi="Garamond" w:eastAsia="Garamond" w:cs="Garamond"/>
          <w:b/>
        </w:rPr>
      </w:pPr>
      <w:r>
        <w:rPr>
          <w:rFonts w:ascii="Garamond" w:hAnsi="Garamond" w:eastAsia="Garamond" w:cs="Garamond"/>
          <w:b/>
        </w:rPr>
        <w:lastRenderedPageBreak/>
        <w:t>Responsibilities may include:</w:t>
      </w:r>
    </w:p>
    <w:p w:rsidR="00AF60B6" w:rsidRDefault="00AF60B6" w14:paraId="3E8E9996" w14:textId="77777777">
      <w:pPr>
        <w:widowControl w:val="0"/>
        <w:rPr>
          <w:rFonts w:ascii="Garamond" w:hAnsi="Garamond" w:eastAsia="Garamond" w:cs="Garamond"/>
          <w:b/>
        </w:rPr>
      </w:pPr>
    </w:p>
    <w:p w:rsidR="00AF60B6" w:rsidRDefault="003A738E" w14:paraId="3E8E9997" w14:textId="77777777">
      <w:pPr>
        <w:widowControl w:val="0"/>
        <w:numPr>
          <w:ilvl w:val="0"/>
          <w:numId w:val="1"/>
        </w:numPr>
        <w:rPr>
          <w:rFonts w:ascii="Garamond" w:hAnsi="Garamond" w:eastAsia="Garamond" w:cs="Garamond"/>
        </w:rPr>
      </w:pPr>
      <w:r>
        <w:rPr>
          <w:rFonts w:ascii="Garamond" w:hAnsi="Garamond" w:eastAsia="Garamond" w:cs="Garamond"/>
        </w:rPr>
        <w:t>Event preparation prior to event date</w:t>
      </w:r>
    </w:p>
    <w:p w:rsidR="00AF60B6" w:rsidRDefault="003A738E" w14:paraId="3E8E9998" w14:textId="77777777">
      <w:pPr>
        <w:widowControl w:val="0"/>
        <w:numPr>
          <w:ilvl w:val="0"/>
          <w:numId w:val="1"/>
        </w:numPr>
        <w:rPr>
          <w:rFonts w:ascii="Garamond" w:hAnsi="Garamond" w:eastAsia="Garamond" w:cs="Garamond"/>
        </w:rPr>
      </w:pPr>
      <w:r>
        <w:rPr>
          <w:rFonts w:ascii="Garamond" w:hAnsi="Garamond" w:eastAsia="Garamond" w:cs="Garamond"/>
        </w:rPr>
        <w:t>Event set up (day of) and/or takedown (day of)</w:t>
      </w:r>
    </w:p>
    <w:p w:rsidR="00AF60B6" w:rsidRDefault="003A738E" w14:paraId="3E8E9999" w14:textId="77777777">
      <w:pPr>
        <w:widowControl w:val="0"/>
        <w:numPr>
          <w:ilvl w:val="0"/>
          <w:numId w:val="1"/>
        </w:numPr>
        <w:rPr>
          <w:rFonts w:ascii="Garamond" w:hAnsi="Garamond" w:eastAsia="Garamond" w:cs="Garamond"/>
        </w:rPr>
      </w:pPr>
      <w:r>
        <w:rPr>
          <w:rFonts w:ascii="Garamond" w:hAnsi="Garamond" w:eastAsia="Garamond" w:cs="Garamond"/>
        </w:rPr>
        <w:t>Admissions sales and visitor counting</w:t>
      </w:r>
    </w:p>
    <w:p w:rsidR="00AF60B6" w:rsidRDefault="003A738E" w14:paraId="3E8E999A" w14:textId="77777777">
      <w:pPr>
        <w:widowControl w:val="0"/>
        <w:numPr>
          <w:ilvl w:val="0"/>
          <w:numId w:val="1"/>
        </w:numPr>
        <w:rPr>
          <w:rFonts w:ascii="Garamond" w:hAnsi="Garamond" w:eastAsia="Garamond" w:cs="Garamond"/>
        </w:rPr>
      </w:pPr>
      <w:r>
        <w:rPr>
          <w:rFonts w:ascii="Garamond" w:hAnsi="Garamond" w:eastAsia="Garamond" w:cs="Garamond"/>
        </w:rPr>
        <w:t>Food sales</w:t>
      </w:r>
    </w:p>
    <w:p w:rsidR="00AF60B6" w:rsidP="734CDADA" w:rsidRDefault="00AF60B6" w14:paraId="3E8E99A2" w14:textId="74C46D4A">
      <w:pPr>
        <w:widowControl w:val="0"/>
        <w:numPr>
          <w:ilvl w:val="0"/>
          <w:numId w:val="1"/>
        </w:numPr>
        <w:rPr>
          <w:rFonts w:ascii="Garamond" w:hAnsi="Garamond" w:eastAsia="Garamond" w:cs="Garamond"/>
        </w:rPr>
      </w:pPr>
      <w:r w:rsidRPr="734CDADA" w:rsidR="003A738E">
        <w:rPr>
          <w:rFonts w:ascii="Garamond" w:hAnsi="Garamond" w:eastAsia="Garamond" w:cs="Garamond"/>
        </w:rPr>
        <w:t>Parking supervision/guidanc</w:t>
      </w:r>
      <w:r w:rsidRPr="734CDADA" w:rsidR="003A738E">
        <w:rPr>
          <w:rFonts w:ascii="Garamond" w:hAnsi="Garamond" w:eastAsia="Garamond" w:cs="Garamond"/>
        </w:rPr>
        <w:t>e</w:t>
      </w:r>
    </w:p>
    <w:p w:rsidR="00AF60B6" w:rsidRDefault="003A738E" w14:paraId="3E8E99A3" w14:textId="77777777">
      <w:pPr>
        <w:widowControl w:val="0"/>
        <w:numPr>
          <w:ilvl w:val="0"/>
          <w:numId w:val="1"/>
        </w:numPr>
        <w:rPr>
          <w:rFonts w:ascii="Garamond" w:hAnsi="Garamond" w:eastAsia="Garamond" w:cs="Garamond"/>
        </w:rPr>
      </w:pPr>
      <w:r>
        <w:rPr>
          <w:rFonts w:ascii="Garamond" w:hAnsi="Garamond" w:eastAsia="Garamond" w:cs="Garamond"/>
        </w:rPr>
        <w:t>Activity supervision</w:t>
      </w:r>
    </w:p>
    <w:p w:rsidR="00AF60B6" w:rsidRDefault="003A738E" w14:paraId="3E8E99A4" w14:textId="77777777">
      <w:pPr>
        <w:widowControl w:val="0"/>
        <w:numPr>
          <w:ilvl w:val="0"/>
          <w:numId w:val="1"/>
        </w:numPr>
        <w:rPr>
          <w:rFonts w:ascii="Garamond" w:hAnsi="Garamond" w:eastAsia="Garamond" w:cs="Garamond"/>
        </w:rPr>
      </w:pPr>
      <w:r>
        <w:rPr>
          <w:rFonts w:ascii="Garamond" w:hAnsi="Garamond" w:eastAsia="Garamond" w:cs="Garamond"/>
        </w:rPr>
        <w:t>Demonstration of a skill/craft</w:t>
      </w:r>
    </w:p>
    <w:p w:rsidR="00AF60B6" w:rsidRDefault="003A738E" w14:paraId="3E8E99A5" w14:textId="77777777">
      <w:pPr>
        <w:widowControl w:val="0"/>
        <w:numPr>
          <w:ilvl w:val="0"/>
          <w:numId w:val="1"/>
        </w:numPr>
        <w:rPr>
          <w:rFonts w:ascii="Garamond" w:hAnsi="Garamond" w:eastAsia="Garamond" w:cs="Garamond"/>
        </w:rPr>
      </w:pPr>
      <w:r>
        <w:rPr>
          <w:rFonts w:ascii="Garamond" w:hAnsi="Garamond" w:eastAsia="Garamond" w:cs="Garamond"/>
        </w:rPr>
        <w:t>Musical performance</w:t>
      </w:r>
    </w:p>
    <w:p w:rsidR="00AF60B6" w:rsidRDefault="00AF60B6" w14:paraId="3E8E99A6" w14:textId="77777777">
      <w:pPr>
        <w:widowControl w:val="0"/>
        <w:rPr>
          <w:rFonts w:ascii="Garamond" w:hAnsi="Garamond" w:eastAsia="Garamond" w:cs="Garamond"/>
        </w:rPr>
      </w:pPr>
    </w:p>
    <w:p w:rsidR="00AF60B6" w:rsidRDefault="003A738E" w14:paraId="3E8E99A7" w14:textId="77777777">
      <w:pPr>
        <w:widowControl w:val="0"/>
        <w:rPr>
          <w:rFonts w:ascii="Garamond" w:hAnsi="Garamond" w:eastAsia="Garamond" w:cs="Garamond"/>
        </w:rPr>
      </w:pPr>
      <w:r>
        <w:rPr>
          <w:rFonts w:ascii="Garamond" w:hAnsi="Garamond" w:eastAsia="Garamond" w:cs="Garamond"/>
          <w:b/>
        </w:rPr>
        <w:t>Qualifications</w:t>
      </w:r>
      <w:r>
        <w:rPr>
          <w:rFonts w:ascii="Garamond" w:hAnsi="Garamond" w:eastAsia="Garamond" w:cs="Garamond"/>
        </w:rPr>
        <w:t>:</w:t>
      </w:r>
    </w:p>
    <w:p w:rsidR="00AF60B6" w:rsidRDefault="003A738E" w14:paraId="3E8E99A8" w14:textId="77777777">
      <w:pPr>
        <w:widowControl w:val="0"/>
        <w:rPr>
          <w:rFonts w:ascii="Garamond" w:hAnsi="Garamond" w:eastAsia="Garamond" w:cs="Garamond"/>
        </w:rPr>
      </w:pPr>
      <w:r>
        <w:rPr>
          <w:rFonts w:ascii="Garamond" w:hAnsi="Garamond" w:eastAsia="Garamond" w:cs="Garamond"/>
        </w:rPr>
        <w:t>No previous experience in working on special events is necessary. Training will be provided. The ability to follow detailed directions, work with a diverse visitor base, and strictly adhere to the customer service philosophy ‘visitors first’ is required. P</w:t>
      </w:r>
      <w:r>
        <w:rPr>
          <w:rFonts w:ascii="Garamond" w:hAnsi="Garamond" w:eastAsia="Garamond" w:cs="Garamond"/>
        </w:rPr>
        <w:t>rior experience with livestock handling, sheep shearing, 18th century music/crafts, visitor engagement, and sales/admissions is a bonus.</w:t>
      </w:r>
    </w:p>
    <w:p w:rsidR="00AF60B6" w:rsidRDefault="00AF60B6" w14:paraId="3E8E99A9" w14:textId="77777777">
      <w:pPr>
        <w:widowControl w:val="0"/>
        <w:rPr>
          <w:rFonts w:ascii="Garamond" w:hAnsi="Garamond" w:eastAsia="Garamond" w:cs="Garamond"/>
        </w:rPr>
      </w:pPr>
    </w:p>
    <w:p w:rsidR="00AF60B6" w:rsidRDefault="003A738E" w14:paraId="3E8E99AA" w14:textId="77777777">
      <w:pPr>
        <w:widowControl w:val="0"/>
        <w:rPr>
          <w:rFonts w:ascii="Garamond" w:hAnsi="Garamond" w:eastAsia="Garamond" w:cs="Garamond"/>
          <w:b/>
        </w:rPr>
      </w:pPr>
      <w:r>
        <w:rPr>
          <w:rFonts w:ascii="Garamond" w:hAnsi="Garamond" w:eastAsia="Garamond" w:cs="Garamond"/>
          <w:b/>
        </w:rPr>
        <w:t>Time Requirements:</w:t>
      </w:r>
    </w:p>
    <w:p w:rsidR="00AF60B6" w:rsidRDefault="003A738E" w14:paraId="3E8E99AB" w14:textId="77777777">
      <w:pPr>
        <w:widowControl w:val="0"/>
        <w:rPr>
          <w:rFonts w:ascii="Garamond" w:hAnsi="Garamond" w:eastAsia="Garamond" w:cs="Garamond"/>
        </w:rPr>
      </w:pPr>
      <w:r>
        <w:rPr>
          <w:rFonts w:ascii="Garamond" w:hAnsi="Garamond" w:eastAsia="Garamond" w:cs="Garamond"/>
        </w:rPr>
        <w:t>This position is very flexible. Regular volunteers are welcome in this position, but it is also per</w:t>
      </w:r>
      <w:r>
        <w:rPr>
          <w:rFonts w:ascii="Garamond" w:hAnsi="Garamond" w:eastAsia="Garamond" w:cs="Garamond"/>
        </w:rPr>
        <w:t xml:space="preserve">fect for </w:t>
      </w:r>
      <w:proofErr w:type="gramStart"/>
      <w:r>
        <w:rPr>
          <w:rFonts w:ascii="Garamond" w:hAnsi="Garamond" w:eastAsia="Garamond" w:cs="Garamond"/>
        </w:rPr>
        <w:t>one time</w:t>
      </w:r>
      <w:proofErr w:type="gramEnd"/>
      <w:r>
        <w:rPr>
          <w:rFonts w:ascii="Garamond" w:hAnsi="Garamond" w:eastAsia="Garamond" w:cs="Garamond"/>
        </w:rPr>
        <w:t xml:space="preserve"> volunteers or project groups. Event shifts can be filled with large groups or individuals, as needed. Volunteers must be available for at least one special event shift per year. Day of Event shifts are usually 6-7 hours in length. Other s</w:t>
      </w:r>
      <w:r>
        <w:rPr>
          <w:rFonts w:ascii="Garamond" w:hAnsi="Garamond" w:eastAsia="Garamond" w:cs="Garamond"/>
        </w:rPr>
        <w:t>hift lengths vary.</w:t>
      </w:r>
    </w:p>
    <w:p w:rsidR="00AF60B6" w:rsidRDefault="00AF60B6" w14:paraId="3E8E99AC" w14:textId="77777777">
      <w:pPr>
        <w:widowControl w:val="0"/>
        <w:rPr>
          <w:rFonts w:ascii="Garamond" w:hAnsi="Garamond" w:eastAsia="Garamond" w:cs="Garamond"/>
        </w:rPr>
      </w:pPr>
    </w:p>
    <w:p w:rsidR="00AF60B6" w:rsidRDefault="003A738E" w14:paraId="3E8E99AD" w14:textId="77777777">
      <w:pPr>
        <w:widowControl w:val="0"/>
        <w:rPr>
          <w:rFonts w:ascii="Garamond" w:hAnsi="Garamond" w:eastAsia="Garamond" w:cs="Garamond"/>
          <w:b/>
        </w:rPr>
      </w:pPr>
      <w:r>
        <w:rPr>
          <w:rFonts w:ascii="Garamond" w:hAnsi="Garamond" w:eastAsia="Garamond" w:cs="Garamond"/>
          <w:b/>
        </w:rPr>
        <w:t>Benefits:</w:t>
      </w:r>
    </w:p>
    <w:p w:rsidR="00AF60B6" w:rsidRDefault="003A738E" w14:paraId="3E8E99AE" w14:textId="018C9438">
      <w:pPr>
        <w:widowControl w:val="0"/>
        <w:rPr>
          <w:rFonts w:ascii="Garamond" w:hAnsi="Garamond" w:eastAsia="Garamond" w:cs="Garamond"/>
        </w:rPr>
      </w:pPr>
      <w:r w:rsidRPr="734CDADA" w:rsidR="003A738E">
        <w:rPr>
          <w:rFonts w:ascii="Garamond" w:hAnsi="Garamond" w:eastAsia="Garamond" w:cs="Garamond"/>
        </w:rPr>
        <w:t xml:space="preserve">Regular volunteers will </w:t>
      </w:r>
      <w:r w:rsidRPr="734CDADA" w:rsidR="003A738E">
        <w:rPr>
          <w:rFonts w:ascii="Garamond" w:hAnsi="Garamond" w:eastAsia="Garamond" w:cs="Garamond"/>
        </w:rPr>
        <w:t>receive a 10% discount at the museum gift shop and visitor’s cen</w:t>
      </w:r>
      <w:r w:rsidRPr="734CDADA" w:rsidR="003A738E">
        <w:rPr>
          <w:rFonts w:ascii="Garamond" w:hAnsi="Garamond" w:eastAsia="Garamond" w:cs="Garamond"/>
        </w:rPr>
        <w:t>ter.</w:t>
      </w:r>
    </w:p>
    <w:p w:rsidR="00C42CCB" w:rsidRDefault="00C42CCB" w14:paraId="006CAAD6" w14:textId="5E15D467">
      <w:pPr>
        <w:widowControl w:val="0"/>
        <w:rPr>
          <w:rFonts w:ascii="Garamond" w:hAnsi="Garamond" w:eastAsia="Garamond" w:cs="Garamond"/>
        </w:rPr>
      </w:pPr>
    </w:p>
    <w:p w:rsidRPr="003A738E" w:rsidR="00C42CCB" w:rsidRDefault="003A738E" w14:paraId="03FFE5CE" w14:textId="32A9C755">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AF60B6" w:rsidRDefault="00AF60B6" w14:paraId="3E8E99AF" w14:textId="77777777">
      <w:pPr>
        <w:widowControl w:val="0"/>
        <w:rPr>
          <w:rFonts w:ascii="Garamond" w:hAnsi="Garamond" w:eastAsia="Garamond" w:cs="Garamond"/>
        </w:rPr>
      </w:pPr>
    </w:p>
    <w:p w:rsidR="00AF60B6" w:rsidRDefault="003A738E" w14:paraId="3E8E99B0" w14:textId="77777777">
      <w:pPr>
        <w:widowControl w:val="0"/>
        <w:rPr>
          <w:rFonts w:ascii="Garamond" w:hAnsi="Garamond" w:eastAsia="Garamond" w:cs="Garamond"/>
        </w:rPr>
      </w:pPr>
      <w:r>
        <w:rPr>
          <w:rFonts w:ascii="Garamond" w:hAnsi="Garamond" w:eastAsia="Garamond" w:cs="Garamond"/>
          <w:b/>
        </w:rPr>
        <w:t>Supervisor:</w:t>
      </w:r>
      <w:r>
        <w:rPr>
          <w:rFonts w:ascii="Garamond" w:hAnsi="Garamond" w:eastAsia="Garamond" w:cs="Garamond"/>
        </w:rPr>
        <w:t xml:space="preserve"> </w:t>
      </w:r>
    </w:p>
    <w:p w:rsidR="00AF60B6" w:rsidRDefault="003A738E" w14:paraId="3E8E99B1" w14:textId="77777777">
      <w:pPr>
        <w:widowControl w:val="0"/>
        <w:rPr>
          <w:rFonts w:ascii="Garamond" w:hAnsi="Garamond" w:eastAsia="Garamond" w:cs="Garamond"/>
        </w:rPr>
      </w:pPr>
      <w:proofErr w:type="spellStart"/>
      <w:r>
        <w:rPr>
          <w:rFonts w:ascii="Garamond" w:hAnsi="Garamond" w:eastAsia="Garamond" w:cs="Garamond"/>
        </w:rPr>
        <w:t>MaryAlice</w:t>
      </w:r>
      <w:proofErr w:type="spellEnd"/>
      <w:r>
        <w:rPr>
          <w:rFonts w:ascii="Garamond" w:hAnsi="Garamond" w:eastAsia="Garamond" w:cs="Garamond"/>
        </w:rPr>
        <w:t xml:space="preserve"> </w:t>
      </w:r>
      <w:proofErr w:type="spellStart"/>
      <w:r>
        <w:rPr>
          <w:rFonts w:ascii="Garamond" w:hAnsi="Garamond" w:eastAsia="Garamond" w:cs="Garamond"/>
        </w:rPr>
        <w:t>Bonomo</w:t>
      </w:r>
      <w:proofErr w:type="spellEnd"/>
      <w:r>
        <w:rPr>
          <w:rFonts w:ascii="Garamond" w:hAnsi="Garamond" w:eastAsia="Garamond" w:cs="Garamond"/>
        </w:rPr>
        <w:t xml:space="preserve"> - Visitor Services Manager</w:t>
      </w:r>
    </w:p>
    <w:p w:rsidR="00AF60B6" w:rsidRDefault="00AF60B6" w14:paraId="3E8E99B2" w14:textId="77777777">
      <w:pPr>
        <w:widowControl w:val="0"/>
        <w:rPr>
          <w:rFonts w:ascii="Garamond" w:hAnsi="Garamond" w:eastAsia="Garamond" w:cs="Garamond"/>
        </w:rPr>
      </w:pPr>
    </w:p>
    <w:p w:rsidR="00AF60B6" w:rsidRDefault="003A738E" w14:paraId="3E8E99B3"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AF60B6" w:rsidRDefault="003A738E" w14:paraId="3E8E99B4" w14:textId="77777777">
      <w:pPr>
        <w:widowControl w:val="0"/>
        <w:rPr>
          <w:rFonts w:ascii="Garamond" w:hAnsi="Garamond" w:eastAsia="Garamond" w:cs="Garamond"/>
        </w:rPr>
      </w:pPr>
      <w:r>
        <w:rPr>
          <w:rFonts w:ascii="Garamond" w:hAnsi="Garamond" w:eastAsia="Garamond" w:cs="Garamond"/>
        </w:rPr>
        <w:t xml:space="preserve">Please contact Kaylin Beach at </w:t>
      </w:r>
      <w:hyperlink r:id="rId15">
        <w:r>
          <w:rPr>
            <w:rFonts w:ascii="Garamond" w:hAnsi="Garamond" w:eastAsia="Garamond" w:cs="Garamond"/>
            <w:u w:val="single"/>
          </w:rPr>
          <w:t>volunteers@accokeek.org</w:t>
        </w:r>
      </w:hyperlink>
      <w:r>
        <w:rPr>
          <w:rFonts w:ascii="Garamond" w:hAnsi="Garamond" w:eastAsia="Garamond" w:cs="Garamond"/>
        </w:rPr>
        <w:t>.</w:t>
      </w:r>
    </w:p>
    <w:p w:rsidR="00AF60B6" w:rsidRDefault="00AF60B6" w14:paraId="3E8E99B5" w14:textId="77777777">
      <w:pPr>
        <w:widowControl w:val="0"/>
        <w:rPr>
          <w:rFonts w:ascii="Times New Roman" w:hAnsi="Times New Roman" w:eastAsia="Times New Roman" w:cs="Times New Roman"/>
          <w:sz w:val="20"/>
          <w:szCs w:val="20"/>
        </w:rPr>
      </w:pPr>
    </w:p>
    <w:p w:rsidR="00AF60B6" w:rsidRDefault="00AF60B6" w14:paraId="3E8E99B7" w14:textId="77777777"/>
    <w:sectPr w:rsidR="00AF60B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2EF" w:rsidP="00FE72EF" w:rsidRDefault="00FE72EF" w14:paraId="49B6EF6A" w14:textId="77777777">
      <w:pPr>
        <w:spacing w:line="240" w:lineRule="auto"/>
      </w:pPr>
      <w:r>
        <w:separator/>
      </w:r>
    </w:p>
  </w:endnote>
  <w:endnote w:type="continuationSeparator" w:id="0">
    <w:p w:rsidR="00FE72EF" w:rsidP="00FE72EF" w:rsidRDefault="00FE72EF" w14:paraId="433016D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2EF" w:rsidP="00FE72EF" w:rsidRDefault="00FE72EF" w14:paraId="259A0F71" w14:textId="77777777">
      <w:pPr>
        <w:spacing w:line="240" w:lineRule="auto"/>
      </w:pPr>
      <w:r>
        <w:separator/>
      </w:r>
    </w:p>
  </w:footnote>
  <w:footnote w:type="continuationSeparator" w:id="0">
    <w:p w:rsidR="00FE72EF" w:rsidP="00FE72EF" w:rsidRDefault="00FE72EF" w14:paraId="3B7D8BE2"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36DB0"/>
    <w:multiLevelType w:val="multilevel"/>
    <w:tmpl w:val="71EE2722"/>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B6"/>
    <w:rsid w:val="003A738E"/>
    <w:rsid w:val="00AF60B6"/>
    <w:rsid w:val="00C42CCB"/>
    <w:rsid w:val="00C637FE"/>
    <w:rsid w:val="00FE72EF"/>
    <w:rsid w:val="242C3FEE"/>
    <w:rsid w:val="734CD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E8E9988"/>
  <w15:docId w15:val="{587F1E98-7F1F-4FF5-99D9-E8926F3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72EF"/>
    <w:pPr>
      <w:tabs>
        <w:tab w:val="center" w:pos="4680"/>
        <w:tab w:val="right" w:pos="9360"/>
      </w:tabs>
      <w:spacing w:line="240" w:lineRule="auto"/>
    </w:pPr>
  </w:style>
  <w:style w:type="character" w:styleId="HeaderChar" w:customStyle="1">
    <w:name w:val="Header Char"/>
    <w:basedOn w:val="DefaultParagraphFont"/>
    <w:link w:val="Header"/>
    <w:uiPriority w:val="99"/>
    <w:rsid w:val="00FE72EF"/>
  </w:style>
  <w:style w:type="paragraph" w:styleId="Footer">
    <w:name w:val="footer"/>
    <w:basedOn w:val="Normal"/>
    <w:link w:val="FooterChar"/>
    <w:uiPriority w:val="99"/>
    <w:unhideWhenUsed/>
    <w:rsid w:val="00FE72EF"/>
    <w:pPr>
      <w:tabs>
        <w:tab w:val="center" w:pos="4680"/>
        <w:tab w:val="right" w:pos="9360"/>
      </w:tabs>
      <w:spacing w:line="240" w:lineRule="auto"/>
    </w:pPr>
  </w:style>
  <w:style w:type="character" w:styleId="FooterChar" w:customStyle="1">
    <w:name w:val="Footer Char"/>
    <w:basedOn w:val="DefaultParagraphFont"/>
    <w:link w:val="Footer"/>
    <w:uiPriority w:val="99"/>
    <w:rsid w:val="00FE72EF"/>
  </w:style>
  <w:style w:type="character" w:styleId="Hyperlink">
    <w:name w:val="Hyperlink"/>
    <w:basedOn w:val="DefaultParagraphFont"/>
    <w:uiPriority w:val="99"/>
    <w:semiHidden/>
    <w:unhideWhenUsed/>
    <w:rsid w:val="00C63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91810">
      <w:bodyDiv w:val="1"/>
      <w:marLeft w:val="0"/>
      <w:marRight w:val="0"/>
      <w:marTop w:val="0"/>
      <w:marBottom w:val="0"/>
      <w:divBdr>
        <w:top w:val="none" w:sz="0" w:space="0" w:color="auto"/>
        <w:left w:val="none" w:sz="0" w:space="0" w:color="auto"/>
        <w:bottom w:val="none" w:sz="0" w:space="0" w:color="auto"/>
        <w:right w:val="none" w:sz="0" w:space="0" w:color="auto"/>
      </w:divBdr>
    </w:div>
    <w:div w:id="116578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ps.gov/pisc/index.ht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mailto:volunteers@accokeek.org" TargetMode="Externa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A0905-CF69-4364-97E6-0D987C5B6F7B}">
  <ds:schemaRefs>
    <ds:schemaRef ds:uri="http://schemas.microsoft.com/sharepoint/v3/contenttype/forms"/>
  </ds:schemaRefs>
</ds:datastoreItem>
</file>

<file path=customXml/itemProps2.xml><?xml version="1.0" encoding="utf-8"?>
<ds:datastoreItem xmlns:ds="http://schemas.openxmlformats.org/officeDocument/2006/customXml" ds:itemID="{6CB3163F-2C97-4A15-89E9-885A62E50565}"/>
</file>

<file path=customXml/itemProps3.xml><?xml version="1.0" encoding="utf-8"?>
<ds:datastoreItem xmlns:ds="http://schemas.openxmlformats.org/officeDocument/2006/customXml" ds:itemID="{419D537A-ED63-43B9-835D-4BE84EA93DC0}">
  <ds:schemaRefs>
    <ds:schemaRef ds:uri="http://purl.org/dc/terms/"/>
    <ds:schemaRef ds:uri="63898d37-86d3-4cb1-bb11-a93f3487837f"/>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6</revision>
  <dcterms:created xsi:type="dcterms:W3CDTF">2021-08-12T19:53:00.0000000Z</dcterms:created>
  <dcterms:modified xsi:type="dcterms:W3CDTF">2022-04-15T13:09:45.4317260Z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